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273C" w14:textId="208320D1" w:rsidR="00016E90" w:rsidRPr="009D0E4F" w:rsidRDefault="00016E90" w:rsidP="00016E90">
      <w:pPr>
        <w:jc w:val="both"/>
        <w:rPr>
          <w:b/>
          <w:bCs/>
          <w:sz w:val="22"/>
          <w:szCs w:val="22"/>
        </w:rPr>
      </w:pPr>
      <w:r w:rsidRPr="009D0E4F">
        <w:rPr>
          <w:b/>
          <w:bCs/>
          <w:sz w:val="22"/>
          <w:szCs w:val="22"/>
        </w:rPr>
        <w:t>Informacja o prawach i obowiązkach Klienta w przypadku wytoczenia powództwa przez Rzecznika Finansowego</w:t>
      </w:r>
      <w:r w:rsidR="00E8777D" w:rsidRPr="009D0E4F">
        <w:rPr>
          <w:b/>
          <w:bCs/>
          <w:sz w:val="22"/>
          <w:szCs w:val="22"/>
        </w:rPr>
        <w:t>/wstąpienia Rzecznika Finansowego do sprawy</w:t>
      </w:r>
      <w:r w:rsidRPr="009D0E4F">
        <w:rPr>
          <w:b/>
          <w:bCs/>
          <w:sz w:val="22"/>
          <w:szCs w:val="22"/>
        </w:rPr>
        <w:t>.</w:t>
      </w:r>
    </w:p>
    <w:p w14:paraId="6CE605DB" w14:textId="77777777" w:rsidR="00016E90" w:rsidRPr="009D0E4F" w:rsidRDefault="00016E90" w:rsidP="00016E90">
      <w:pPr>
        <w:jc w:val="both"/>
        <w:rPr>
          <w:sz w:val="22"/>
          <w:szCs w:val="22"/>
        </w:rPr>
      </w:pPr>
    </w:p>
    <w:p w14:paraId="4F7B9353" w14:textId="77777777" w:rsidR="00016E90" w:rsidRPr="009D0E4F" w:rsidRDefault="00016E90" w:rsidP="00016E90">
      <w:pPr>
        <w:jc w:val="both"/>
        <w:rPr>
          <w:b/>
          <w:bCs/>
          <w:sz w:val="22"/>
          <w:szCs w:val="22"/>
        </w:rPr>
      </w:pPr>
      <w:r w:rsidRPr="009D0E4F">
        <w:rPr>
          <w:b/>
          <w:bCs/>
          <w:sz w:val="22"/>
          <w:szCs w:val="22"/>
        </w:rPr>
        <w:t>INFORMACJE OGÓLNE:</w:t>
      </w:r>
    </w:p>
    <w:p w14:paraId="52CFBF3A" w14:textId="77777777" w:rsidR="00016E90" w:rsidRPr="009D0E4F" w:rsidRDefault="00016E90" w:rsidP="00016E90">
      <w:pPr>
        <w:jc w:val="both"/>
        <w:rPr>
          <w:sz w:val="22"/>
          <w:szCs w:val="22"/>
        </w:rPr>
      </w:pPr>
    </w:p>
    <w:p w14:paraId="06E7F961" w14:textId="77777777" w:rsidR="00016E90" w:rsidRPr="009D0E4F" w:rsidRDefault="00016E90" w:rsidP="00016E90">
      <w:pPr>
        <w:jc w:val="both"/>
        <w:rPr>
          <w:sz w:val="22"/>
          <w:szCs w:val="22"/>
        </w:rPr>
      </w:pPr>
      <w:r w:rsidRPr="009D0E4F">
        <w:rPr>
          <w:sz w:val="22"/>
          <w:szCs w:val="22"/>
        </w:rPr>
        <w:t>Osobę, na rzecz której Rzecznik wytoczył powództwo (dalej: Klient), sąd zawiadamia o tym, doręczając jej odpis pozwu. Osoba ta może wstąpić do procesu na każdym jego etapie.</w:t>
      </w:r>
    </w:p>
    <w:p w14:paraId="0C56A188" w14:textId="77777777" w:rsidR="00016E90" w:rsidRPr="009D0E4F" w:rsidRDefault="00016E90" w:rsidP="00016E90">
      <w:pPr>
        <w:jc w:val="both"/>
        <w:rPr>
          <w:sz w:val="22"/>
          <w:szCs w:val="22"/>
        </w:rPr>
      </w:pPr>
    </w:p>
    <w:p w14:paraId="727FA715" w14:textId="77777777" w:rsidR="00016E90" w:rsidRPr="009D0E4F" w:rsidRDefault="00016E90" w:rsidP="00016E90">
      <w:pPr>
        <w:jc w:val="both"/>
        <w:rPr>
          <w:sz w:val="22"/>
          <w:szCs w:val="22"/>
        </w:rPr>
      </w:pPr>
      <w:r w:rsidRPr="009D0E4F">
        <w:rPr>
          <w:sz w:val="22"/>
          <w:szCs w:val="22"/>
        </w:rPr>
        <w:t>Stosownie do </w:t>
      </w:r>
      <w:hyperlink r:id="rId10" w:anchor="/document/16786199?unitId=art(301)" w:history="1">
        <w:r w:rsidRPr="009D0E4F">
          <w:rPr>
            <w:sz w:val="22"/>
            <w:szCs w:val="22"/>
          </w:rPr>
          <w:t>art. 301</w:t>
        </w:r>
      </w:hyperlink>
      <w:r w:rsidRPr="009D0E4F">
        <w:rPr>
          <w:sz w:val="22"/>
          <w:szCs w:val="22"/>
        </w:rPr>
        <w:t> k.p.c. osoba, na rzecz której Rzecznik wytoczył powództwo, chociażby nie przystąpiła do sprawy, może być przesłuchana w charakterze strony powodowej.</w:t>
      </w:r>
    </w:p>
    <w:p w14:paraId="2639D82D" w14:textId="77777777" w:rsidR="00016E90" w:rsidRPr="009D0E4F" w:rsidRDefault="00016E90" w:rsidP="00016E90">
      <w:pPr>
        <w:jc w:val="both"/>
        <w:rPr>
          <w:sz w:val="22"/>
          <w:szCs w:val="22"/>
        </w:rPr>
      </w:pPr>
    </w:p>
    <w:p w14:paraId="14270074" w14:textId="77777777" w:rsidR="00016E90" w:rsidRPr="009D0E4F" w:rsidRDefault="00016E90" w:rsidP="00016E90">
      <w:pPr>
        <w:jc w:val="both"/>
        <w:rPr>
          <w:sz w:val="22"/>
          <w:szCs w:val="22"/>
        </w:rPr>
      </w:pPr>
      <w:r w:rsidRPr="009D0E4F">
        <w:rPr>
          <w:sz w:val="22"/>
          <w:szCs w:val="22"/>
        </w:rPr>
        <w:t>Rzecznik nie może samodzielnie rozporządzać przedmiotem sporu, a w szczególności zrzec się roszczenia, ani zawrzeć ugody sądowej.</w:t>
      </w:r>
    </w:p>
    <w:p w14:paraId="37492E45" w14:textId="77777777" w:rsidR="00016E90" w:rsidRPr="009D0E4F" w:rsidRDefault="00016E90" w:rsidP="00016E90">
      <w:pPr>
        <w:jc w:val="both"/>
        <w:rPr>
          <w:sz w:val="22"/>
          <w:szCs w:val="22"/>
        </w:rPr>
      </w:pPr>
    </w:p>
    <w:p w14:paraId="0D80D587" w14:textId="77777777" w:rsidR="00016E90" w:rsidRPr="009D0E4F" w:rsidRDefault="00016E90" w:rsidP="00016E90">
      <w:pPr>
        <w:jc w:val="both"/>
        <w:rPr>
          <w:b/>
          <w:bCs/>
          <w:sz w:val="22"/>
          <w:szCs w:val="22"/>
        </w:rPr>
      </w:pPr>
      <w:r w:rsidRPr="009D0E4F">
        <w:rPr>
          <w:b/>
          <w:bCs/>
          <w:sz w:val="22"/>
          <w:szCs w:val="22"/>
        </w:rPr>
        <w:t>SKUTKI PRAWNE WNIESIENIA POZWU PRZEZ RZECZNIKA NA RZECZ KLIENTA</w:t>
      </w:r>
    </w:p>
    <w:p w14:paraId="228C41F5" w14:textId="77777777" w:rsidR="00016E90" w:rsidRPr="009D0E4F" w:rsidRDefault="00016E90" w:rsidP="00016E90">
      <w:pPr>
        <w:jc w:val="both"/>
        <w:rPr>
          <w:sz w:val="22"/>
          <w:szCs w:val="22"/>
        </w:rPr>
      </w:pPr>
    </w:p>
    <w:p w14:paraId="79CB2A65" w14:textId="77777777" w:rsidR="00016E90" w:rsidRPr="009D0E4F" w:rsidRDefault="00016E90" w:rsidP="00016E90">
      <w:pPr>
        <w:jc w:val="both"/>
        <w:rPr>
          <w:sz w:val="22"/>
          <w:szCs w:val="22"/>
        </w:rPr>
      </w:pPr>
      <w:r w:rsidRPr="009D0E4F">
        <w:rPr>
          <w:sz w:val="22"/>
          <w:szCs w:val="22"/>
        </w:rPr>
        <w:t>Wyrok prawomocny zapadły w sprawie wytoczonej przez Rzecznika ma powagę rzeczy osądzonej pomiędzy Klientem, a stroną przeciwną. Oznacza to, że wyrok ten będzie dla Pani/Pana i strony przeciwnej wiążący.</w:t>
      </w:r>
    </w:p>
    <w:p w14:paraId="12B4FC80" w14:textId="73288930" w:rsidR="00016E90" w:rsidRPr="009D0E4F" w:rsidRDefault="00016E90" w:rsidP="00016E90">
      <w:pPr>
        <w:jc w:val="both"/>
        <w:rPr>
          <w:sz w:val="22"/>
          <w:szCs w:val="22"/>
        </w:rPr>
      </w:pPr>
      <w:r w:rsidRPr="009D0E4F">
        <w:rPr>
          <w:sz w:val="22"/>
          <w:szCs w:val="22"/>
        </w:rPr>
        <w:t xml:space="preserve">W sprawach o roszczenia majątkowe (np. o zapłatę), prawomocne rozstrzygnięcie sprawy, nie pozbawia Klienta, który nie wstąpił do sprawy wytoczonej przez Rzecznika, możliwości dochodzenia swoich roszczeń jeśli nie zostały one w całości lub w części zasądzone w sprawie wytoczonej przez Rzecznika. </w:t>
      </w:r>
    </w:p>
    <w:p w14:paraId="29BB070B" w14:textId="51928F91" w:rsidR="01B0FC38" w:rsidRPr="009D0E4F" w:rsidRDefault="01B0FC38" w:rsidP="01B0FC38">
      <w:pPr>
        <w:jc w:val="both"/>
        <w:rPr>
          <w:sz w:val="22"/>
          <w:szCs w:val="22"/>
        </w:rPr>
      </w:pPr>
    </w:p>
    <w:p w14:paraId="4447777E" w14:textId="77777777" w:rsidR="00016E90" w:rsidRPr="009D0E4F" w:rsidRDefault="00016E90" w:rsidP="00016E90">
      <w:pPr>
        <w:jc w:val="both"/>
        <w:rPr>
          <w:sz w:val="22"/>
          <w:szCs w:val="22"/>
        </w:rPr>
      </w:pPr>
      <w:r w:rsidRPr="009D0E4F">
        <w:rPr>
          <w:sz w:val="22"/>
          <w:szCs w:val="22"/>
        </w:rPr>
        <w:t>Jeśli Klient nie przystąpi do sprawy wytoczonej przez Rzecznika na jego rzecz, bieg przedawnienia roszczenia nie zostaje przerwany. Roszczenie może zatem ulec przedawnieniu do czasu, gdy Klient zyska możliwość samodzielnego wniesienia powództwa o roszczenie, które zostało prawomocnie oddalone przez sąd w sprawie wytoczonej przez Rzecznika. Rzecznik nie ma wpływu na czas trwania postępowania sądowego.</w:t>
      </w:r>
    </w:p>
    <w:p w14:paraId="04C00813" w14:textId="77777777" w:rsidR="00016E90" w:rsidRPr="009D0E4F" w:rsidRDefault="00016E90" w:rsidP="00016E90">
      <w:pPr>
        <w:jc w:val="both"/>
        <w:rPr>
          <w:sz w:val="22"/>
          <w:szCs w:val="22"/>
        </w:rPr>
      </w:pPr>
    </w:p>
    <w:p w14:paraId="56027893" w14:textId="1129E068" w:rsidR="00016E90" w:rsidRPr="009D0E4F" w:rsidRDefault="00016E90" w:rsidP="00016E90">
      <w:pPr>
        <w:jc w:val="both"/>
        <w:rPr>
          <w:b/>
          <w:bCs/>
          <w:sz w:val="22"/>
          <w:szCs w:val="22"/>
        </w:rPr>
      </w:pPr>
      <w:r w:rsidRPr="009D0E4F">
        <w:rPr>
          <w:b/>
          <w:bCs/>
          <w:sz w:val="22"/>
          <w:szCs w:val="22"/>
        </w:rPr>
        <w:t>KOSZTY PROCESU W SPRAW</w:t>
      </w:r>
      <w:r w:rsidR="009D0E4F" w:rsidRPr="009D0E4F">
        <w:rPr>
          <w:b/>
          <w:bCs/>
          <w:sz w:val="22"/>
          <w:szCs w:val="22"/>
        </w:rPr>
        <w:t>A</w:t>
      </w:r>
      <w:r w:rsidR="00AB71CE" w:rsidRPr="009D0E4F">
        <w:rPr>
          <w:b/>
          <w:bCs/>
          <w:sz w:val="22"/>
          <w:szCs w:val="22"/>
        </w:rPr>
        <w:t xml:space="preserve">CH  SĄDOWYCH Z UDZIAŁEM </w:t>
      </w:r>
      <w:r w:rsidRPr="009D0E4F">
        <w:rPr>
          <w:b/>
          <w:bCs/>
          <w:sz w:val="22"/>
          <w:szCs w:val="22"/>
        </w:rPr>
        <w:t xml:space="preserve">RZECZNIKA </w:t>
      </w:r>
      <w:r w:rsidR="00687091" w:rsidRPr="009D0E4F">
        <w:rPr>
          <w:b/>
          <w:bCs/>
          <w:sz w:val="22"/>
          <w:szCs w:val="22"/>
        </w:rPr>
        <w:t>FINANSOWEGO</w:t>
      </w:r>
    </w:p>
    <w:p w14:paraId="37D877AB" w14:textId="77777777" w:rsidR="00016E90" w:rsidRPr="009D0E4F" w:rsidRDefault="00016E90" w:rsidP="00016E90">
      <w:pPr>
        <w:jc w:val="both"/>
        <w:rPr>
          <w:sz w:val="22"/>
          <w:szCs w:val="22"/>
        </w:rPr>
      </w:pPr>
    </w:p>
    <w:p w14:paraId="726F641C" w14:textId="77777777" w:rsidR="00AB71CE" w:rsidRPr="009D0E4F" w:rsidRDefault="00AB71CE" w:rsidP="00AB71CE">
      <w:pPr>
        <w:jc w:val="both"/>
        <w:rPr>
          <w:rStyle w:val="Pogrubienie"/>
          <w:b w:val="0"/>
          <w:bCs w:val="0"/>
          <w:sz w:val="22"/>
          <w:szCs w:val="22"/>
        </w:rPr>
      </w:pPr>
      <w:r w:rsidRPr="009D0E4F">
        <w:rPr>
          <w:rStyle w:val="Pogrubienie"/>
          <w:b w:val="0"/>
          <w:bCs w:val="0"/>
          <w:sz w:val="22"/>
          <w:szCs w:val="22"/>
        </w:rPr>
        <w:t xml:space="preserve">Sam wniosek Klienta kierowany do Rzecznika Finansowego o wszczęcie postępowania sądowego w sprawach cywilnych, a także wniosek o przystąpienie Rzecznika do toczącej się już przed sądem sprawy nie podlega żadnym opłatom. </w:t>
      </w:r>
    </w:p>
    <w:p w14:paraId="51669CBB" w14:textId="77777777" w:rsidR="00C50C17" w:rsidRPr="009D0E4F" w:rsidRDefault="00C50C17" w:rsidP="00C50C17">
      <w:pPr>
        <w:jc w:val="both"/>
        <w:rPr>
          <w:sz w:val="22"/>
          <w:szCs w:val="22"/>
        </w:rPr>
      </w:pPr>
    </w:p>
    <w:p w14:paraId="7863D128" w14:textId="3D250CBE" w:rsidR="00C50C17" w:rsidRPr="009D0E4F" w:rsidRDefault="00C50C17" w:rsidP="00C50C17">
      <w:pPr>
        <w:jc w:val="both"/>
        <w:rPr>
          <w:sz w:val="22"/>
          <w:szCs w:val="22"/>
        </w:rPr>
      </w:pPr>
      <w:r w:rsidRPr="009D0E4F">
        <w:rPr>
          <w:sz w:val="22"/>
          <w:szCs w:val="22"/>
        </w:rPr>
        <w:t xml:space="preserve">Rozstrzygnięcie o kosztach procesu sąd zamieszcza w każdym orzeczeniu kończącym postępowanie Co do zasady strona która przegra proces, zobowiązana jest do pokrycia uzasadnionych i celowych kosztów procesu strony przeciwnej. Jeśli zapadły wyrok zasądza tylko część roszczenia powoda, a w pozostałej części powództwo oddala to koszty procesu sąd rozdziela stosunkowo na każdą ze stron. </w:t>
      </w:r>
    </w:p>
    <w:p w14:paraId="43890C2D" w14:textId="77777777" w:rsidR="00AB71CE" w:rsidRPr="009D0E4F" w:rsidRDefault="00AB71CE" w:rsidP="00AB71CE">
      <w:pPr>
        <w:jc w:val="both"/>
        <w:rPr>
          <w:rStyle w:val="Pogrubienie"/>
          <w:b w:val="0"/>
          <w:bCs w:val="0"/>
          <w:sz w:val="22"/>
          <w:szCs w:val="22"/>
        </w:rPr>
      </w:pPr>
    </w:p>
    <w:p w14:paraId="02F09ED6" w14:textId="6C8449C3" w:rsidR="00AB71CE" w:rsidRPr="009D0E4F" w:rsidRDefault="00AB71CE" w:rsidP="00AB71CE">
      <w:pPr>
        <w:jc w:val="both"/>
        <w:rPr>
          <w:rStyle w:val="Pogrubienie"/>
          <w:b w:val="0"/>
          <w:bCs w:val="0"/>
          <w:sz w:val="22"/>
          <w:szCs w:val="22"/>
        </w:rPr>
      </w:pPr>
      <w:r w:rsidRPr="009D0E4F">
        <w:rPr>
          <w:rStyle w:val="Pogrubienie"/>
          <w:b w:val="0"/>
          <w:bCs w:val="0"/>
          <w:sz w:val="22"/>
          <w:szCs w:val="22"/>
        </w:rPr>
        <w:t>Koszty, do poniesienia których Klient może zostać zobowiązany przez sąd, uzależnione są od formy udziału Rzecznika Finansowego w sprawie, a także zaangażowania samego Klienta.</w:t>
      </w:r>
    </w:p>
    <w:p w14:paraId="75D54D41" w14:textId="77777777" w:rsidR="00AB71CE" w:rsidRPr="009D0E4F" w:rsidRDefault="00AB71CE" w:rsidP="00AB71CE">
      <w:pPr>
        <w:jc w:val="both"/>
        <w:rPr>
          <w:rStyle w:val="Pogrubienie"/>
          <w:sz w:val="24"/>
          <w:szCs w:val="24"/>
        </w:rPr>
      </w:pPr>
    </w:p>
    <w:p w14:paraId="2CB46937" w14:textId="61CB52B7" w:rsidR="00AB71CE" w:rsidRDefault="00AA6B04" w:rsidP="00AB71CE">
      <w:pPr>
        <w:jc w:val="both"/>
        <w:rPr>
          <w:rStyle w:val="Pogrubienie"/>
          <w:sz w:val="24"/>
          <w:szCs w:val="24"/>
        </w:rPr>
      </w:pPr>
      <w:r w:rsidRPr="009D0E4F">
        <w:rPr>
          <w:rStyle w:val="Pogrubienie"/>
          <w:sz w:val="24"/>
          <w:szCs w:val="24"/>
        </w:rPr>
        <w:t>I</w:t>
      </w:r>
      <w:r w:rsidR="00AB71CE" w:rsidRPr="009D0E4F">
        <w:rPr>
          <w:rStyle w:val="Pogrubienie"/>
          <w:sz w:val="24"/>
          <w:szCs w:val="24"/>
        </w:rPr>
        <w:t xml:space="preserve">nformacje dotyczące kosztów, które mogą obciążyć Klienta, przedstawiamy poniżej. </w:t>
      </w:r>
    </w:p>
    <w:p w14:paraId="10EAAF20" w14:textId="77777777" w:rsidR="003445BF" w:rsidRDefault="003445BF" w:rsidP="003445BF">
      <w:pPr>
        <w:jc w:val="both"/>
        <w:rPr>
          <w:sz w:val="22"/>
          <w:szCs w:val="22"/>
        </w:rPr>
      </w:pPr>
    </w:p>
    <w:p w14:paraId="44A11828" w14:textId="77777777" w:rsidR="00AB71CE" w:rsidRPr="009D0E4F" w:rsidRDefault="00AB71CE" w:rsidP="00AB71CE">
      <w:pPr>
        <w:jc w:val="both"/>
        <w:rPr>
          <w:rStyle w:val="Pogrubienie"/>
          <w:b w:val="0"/>
          <w:bCs w:val="0"/>
          <w:sz w:val="24"/>
          <w:szCs w:val="24"/>
        </w:rPr>
      </w:pPr>
    </w:p>
    <w:p w14:paraId="203540F1" w14:textId="77777777" w:rsidR="00AB71CE" w:rsidRPr="009D0E4F" w:rsidRDefault="00AB71CE" w:rsidP="00AB71CE">
      <w:pPr>
        <w:pStyle w:val="Akapitzlist"/>
        <w:numPr>
          <w:ilvl w:val="0"/>
          <w:numId w:val="5"/>
        </w:numPr>
        <w:rPr>
          <w:rFonts w:ascii="Times New Roman" w:hAnsi="Times New Roman" w:cs="Times New Roman"/>
          <w:b/>
          <w:bCs/>
          <w:sz w:val="24"/>
          <w:szCs w:val="24"/>
        </w:rPr>
      </w:pPr>
      <w:r w:rsidRPr="009D0E4F">
        <w:rPr>
          <w:rFonts w:ascii="Times New Roman" w:hAnsi="Times New Roman" w:cs="Times New Roman"/>
          <w:b/>
          <w:bCs/>
          <w:sz w:val="24"/>
          <w:szCs w:val="24"/>
        </w:rPr>
        <w:t>Wstąpienie Rzecznika Finansowego do toczącego się już postępowania sądowego</w:t>
      </w:r>
    </w:p>
    <w:p w14:paraId="770EF47B" w14:textId="61C47436" w:rsidR="00AB71CE" w:rsidRDefault="00AB71CE" w:rsidP="00AB71CE">
      <w:pPr>
        <w:jc w:val="both"/>
        <w:rPr>
          <w:sz w:val="22"/>
          <w:szCs w:val="22"/>
        </w:rPr>
      </w:pPr>
      <w:r w:rsidRPr="009D0E4F">
        <w:rPr>
          <w:sz w:val="22"/>
          <w:szCs w:val="22"/>
        </w:rPr>
        <w:t xml:space="preserve">Samo wstąpienie Rzecznika Finansowego do sprawy w której Klient jest stroną (zarówno jako powód jak i pozwany), co do zasady nie wiąże się dla niego z żadnymi dodatkowymi kosztami. Wyjątkiem od powyższego może być sytuacja, gdy Rzecznik Finansowy podejmie czynności  połączone  z  obowiązkiem  poniesienia  wydatków  (np.  wystąpi  z  wnioskiem o dopuszczenie  dowodu  z  opinii  biegłego). W takim przypadku wydatki  kredytuje  tymczasowo Skarb Państwa, natomiast ich rozliczenie nastąpi co do zasady w orzeczeniu kończącym postępowanie zgodnie z art. 113 </w:t>
      </w:r>
      <w:r w:rsidR="003445BF" w:rsidRPr="003445BF">
        <w:rPr>
          <w:sz w:val="22"/>
          <w:szCs w:val="22"/>
        </w:rPr>
        <w:t xml:space="preserve">Ustawy o kosztach sądowych w sprawach cywilnych (dalej: </w:t>
      </w:r>
      <w:proofErr w:type="spellStart"/>
      <w:r w:rsidR="003445BF" w:rsidRPr="003445BF">
        <w:rPr>
          <w:sz w:val="22"/>
          <w:szCs w:val="22"/>
        </w:rPr>
        <w:t>u.k.s.c</w:t>
      </w:r>
      <w:proofErr w:type="spellEnd"/>
      <w:r w:rsidR="003445BF" w:rsidRPr="003445BF">
        <w:rPr>
          <w:sz w:val="22"/>
          <w:szCs w:val="22"/>
        </w:rPr>
        <w:t>)),</w:t>
      </w:r>
    </w:p>
    <w:p w14:paraId="681DA742" w14:textId="77777777" w:rsidR="003445BF" w:rsidRPr="003445BF" w:rsidRDefault="003445BF" w:rsidP="00AB71CE">
      <w:pPr>
        <w:jc w:val="both"/>
        <w:rPr>
          <w:sz w:val="22"/>
          <w:szCs w:val="22"/>
        </w:rPr>
      </w:pPr>
    </w:p>
    <w:p w14:paraId="195717BF" w14:textId="732895FD" w:rsidR="00AB71CE" w:rsidRPr="009D0E4F" w:rsidRDefault="00AB71CE" w:rsidP="00AB71CE">
      <w:pPr>
        <w:jc w:val="both"/>
        <w:rPr>
          <w:sz w:val="22"/>
          <w:szCs w:val="22"/>
        </w:rPr>
      </w:pPr>
      <w:r w:rsidRPr="009D0E4F">
        <w:rPr>
          <w:b/>
          <w:bCs/>
          <w:sz w:val="22"/>
          <w:szCs w:val="22"/>
        </w:rPr>
        <w:t xml:space="preserve">Strony zobowiązane są w dalszym ciągu do ponoszenia kosztów procesu związanych z ich samodzielnym udziałem w sprawie (chyba, że zostały zwolnione przez sąd z tego obowiązku), w tym ewentualnych </w:t>
      </w:r>
      <w:r w:rsidRPr="009D0E4F">
        <w:rPr>
          <w:b/>
          <w:bCs/>
          <w:sz w:val="22"/>
          <w:szCs w:val="22"/>
        </w:rPr>
        <w:lastRenderedPageBreak/>
        <w:t xml:space="preserve">kosztów zastępstwa </w:t>
      </w:r>
      <w:r w:rsidRPr="009D0E4F">
        <w:rPr>
          <w:rStyle w:val="Pogrubienie"/>
          <w:sz w:val="22"/>
          <w:szCs w:val="22"/>
          <w:u w:val="single"/>
        </w:rPr>
        <w:t>procesowego stronie przeciwnej (tzn. wynagrodzenia reprezentującego przeciwnika adwokata lub radcy prawnego).</w:t>
      </w:r>
    </w:p>
    <w:p w14:paraId="2707BD79" w14:textId="77777777" w:rsidR="003445BF" w:rsidRDefault="003445BF" w:rsidP="003445BF">
      <w:pPr>
        <w:jc w:val="both"/>
        <w:rPr>
          <w:sz w:val="22"/>
          <w:szCs w:val="22"/>
        </w:rPr>
      </w:pPr>
      <w:bookmarkStart w:id="0" w:name="_Hlk138339933"/>
    </w:p>
    <w:p w14:paraId="3E722F69" w14:textId="2D0346EA" w:rsidR="003445BF" w:rsidRPr="003445BF" w:rsidRDefault="003445BF" w:rsidP="003445BF">
      <w:pPr>
        <w:jc w:val="both"/>
        <w:rPr>
          <w:sz w:val="24"/>
          <w:szCs w:val="24"/>
        </w:rPr>
      </w:pPr>
      <w:r w:rsidRPr="003445BF">
        <w:rPr>
          <w:sz w:val="24"/>
          <w:szCs w:val="24"/>
        </w:rPr>
        <w:t>Rzecznik nie ma obowiązku uiszczania kosztów sądowych wnosząc pozew na rzecz oznaczonej osoby (</w:t>
      </w:r>
      <w:hyperlink r:id="rId11" w:anchor="/document/17216873?unitId=art(96)ust(1)pkt(6)" w:history="1">
        <w:r w:rsidRPr="003445BF">
          <w:rPr>
            <w:sz w:val="24"/>
            <w:szCs w:val="24"/>
          </w:rPr>
          <w:t>art. 96 ust. 1 pkt 6</w:t>
        </w:r>
      </w:hyperlink>
      <w:r w:rsidRPr="003445BF">
        <w:rPr>
          <w:sz w:val="24"/>
          <w:szCs w:val="24"/>
        </w:rPr>
        <w:t> </w:t>
      </w:r>
      <w:proofErr w:type="spellStart"/>
      <w:r w:rsidRPr="003445BF">
        <w:rPr>
          <w:sz w:val="24"/>
          <w:szCs w:val="24"/>
        </w:rPr>
        <w:t>u.k.s.c</w:t>
      </w:r>
      <w:proofErr w:type="spellEnd"/>
      <w:r w:rsidRPr="003445BF">
        <w:rPr>
          <w:sz w:val="24"/>
          <w:szCs w:val="24"/>
        </w:rPr>
        <w:t>,</w:t>
      </w:r>
    </w:p>
    <w:bookmarkEnd w:id="0"/>
    <w:p w14:paraId="3D36B6DB" w14:textId="77777777" w:rsidR="00AB71CE" w:rsidRPr="003445BF" w:rsidRDefault="00AB71CE" w:rsidP="00AB71CE">
      <w:pPr>
        <w:jc w:val="both"/>
        <w:rPr>
          <w:sz w:val="24"/>
          <w:szCs w:val="24"/>
        </w:rPr>
      </w:pPr>
    </w:p>
    <w:p w14:paraId="36FF2A1A" w14:textId="77777777" w:rsidR="003445BF" w:rsidRPr="009D0E4F" w:rsidRDefault="003445BF" w:rsidP="00AB71CE">
      <w:pPr>
        <w:jc w:val="both"/>
        <w:rPr>
          <w:b/>
          <w:bCs/>
          <w:sz w:val="24"/>
          <w:szCs w:val="24"/>
        </w:rPr>
      </w:pPr>
    </w:p>
    <w:p w14:paraId="7711B96F" w14:textId="77777777" w:rsidR="00AB71CE" w:rsidRPr="009D0E4F" w:rsidRDefault="00AB71CE" w:rsidP="00AB71CE">
      <w:pPr>
        <w:pStyle w:val="Akapitzlist"/>
        <w:numPr>
          <w:ilvl w:val="0"/>
          <w:numId w:val="5"/>
        </w:numPr>
        <w:ind w:left="1134"/>
        <w:jc w:val="both"/>
        <w:rPr>
          <w:rFonts w:ascii="Times New Roman" w:hAnsi="Times New Roman" w:cs="Times New Roman"/>
          <w:b/>
          <w:bCs/>
          <w:sz w:val="24"/>
          <w:szCs w:val="24"/>
        </w:rPr>
      </w:pPr>
      <w:r w:rsidRPr="009D0E4F">
        <w:rPr>
          <w:rFonts w:ascii="Times New Roman" w:hAnsi="Times New Roman" w:cs="Times New Roman"/>
          <w:b/>
          <w:bCs/>
          <w:sz w:val="24"/>
          <w:szCs w:val="24"/>
        </w:rPr>
        <w:t xml:space="preserve">Wytoczenie powództwa przez Rzecznika Finansowego na rzecz Klienta, który </w:t>
      </w:r>
      <w:r w:rsidRPr="009D0E4F">
        <w:rPr>
          <w:rFonts w:ascii="Times New Roman" w:hAnsi="Times New Roman" w:cs="Times New Roman"/>
          <w:b/>
          <w:bCs/>
          <w:sz w:val="24"/>
          <w:szCs w:val="24"/>
          <w:u w:val="single"/>
        </w:rPr>
        <w:t>nie wstąpił</w:t>
      </w:r>
      <w:r w:rsidRPr="009D0E4F">
        <w:rPr>
          <w:rFonts w:ascii="Times New Roman" w:hAnsi="Times New Roman" w:cs="Times New Roman"/>
          <w:b/>
          <w:bCs/>
          <w:sz w:val="24"/>
          <w:szCs w:val="24"/>
        </w:rPr>
        <w:t xml:space="preserve"> do postępowania</w:t>
      </w:r>
    </w:p>
    <w:p w14:paraId="1EEEC0DC" w14:textId="6D4AF21B" w:rsidR="003445BF" w:rsidRDefault="00AB71CE" w:rsidP="003445BF">
      <w:pPr>
        <w:jc w:val="both"/>
        <w:rPr>
          <w:sz w:val="24"/>
          <w:szCs w:val="24"/>
        </w:rPr>
      </w:pPr>
      <w:r w:rsidRPr="009D0E4F">
        <w:rPr>
          <w:sz w:val="22"/>
          <w:szCs w:val="22"/>
        </w:rPr>
        <w:t>W przypadku, gdy Rzecznik Finansowy wytoczy powództwo na rzecz oznaczonego Klienta, a Klient ten nie zdecyduje się wstąpić do postępowania sądowego wytoczonego przez Rzecznika,</w:t>
      </w:r>
      <w:r w:rsidR="00C17168" w:rsidRPr="009D0E4F">
        <w:rPr>
          <w:sz w:val="22"/>
          <w:szCs w:val="22"/>
        </w:rPr>
        <w:t xml:space="preserve">  </w:t>
      </w:r>
      <w:r w:rsidR="003445BF" w:rsidRPr="003445BF">
        <w:rPr>
          <w:sz w:val="24"/>
          <w:szCs w:val="24"/>
        </w:rPr>
        <w:t xml:space="preserve">sąd nie zasądza od Klienta kosztów procesu. </w:t>
      </w:r>
    </w:p>
    <w:p w14:paraId="1A231B81" w14:textId="77777777" w:rsidR="003445BF" w:rsidRPr="009D0E4F" w:rsidRDefault="003445BF" w:rsidP="00AB71CE">
      <w:pPr>
        <w:jc w:val="both"/>
        <w:rPr>
          <w:sz w:val="24"/>
          <w:szCs w:val="24"/>
        </w:rPr>
      </w:pPr>
    </w:p>
    <w:p w14:paraId="74FFE152" w14:textId="77777777" w:rsidR="00AB71CE" w:rsidRPr="009D0E4F" w:rsidRDefault="00AB71CE" w:rsidP="00AB71CE">
      <w:pPr>
        <w:rPr>
          <w:b/>
          <w:bCs/>
          <w:sz w:val="24"/>
          <w:szCs w:val="24"/>
        </w:rPr>
      </w:pPr>
    </w:p>
    <w:p w14:paraId="1773FF5A" w14:textId="77777777" w:rsidR="00AB71CE" w:rsidRPr="009D0E4F" w:rsidRDefault="00AB71CE" w:rsidP="00AB71CE">
      <w:pPr>
        <w:pStyle w:val="Akapitzlist"/>
        <w:numPr>
          <w:ilvl w:val="0"/>
          <w:numId w:val="5"/>
        </w:numPr>
        <w:ind w:left="1134"/>
        <w:jc w:val="both"/>
        <w:rPr>
          <w:rFonts w:ascii="Times New Roman" w:hAnsi="Times New Roman" w:cs="Times New Roman"/>
          <w:b/>
          <w:bCs/>
          <w:sz w:val="24"/>
          <w:szCs w:val="24"/>
        </w:rPr>
      </w:pPr>
      <w:r w:rsidRPr="009D0E4F">
        <w:rPr>
          <w:rFonts w:ascii="Times New Roman" w:hAnsi="Times New Roman" w:cs="Times New Roman"/>
          <w:b/>
          <w:bCs/>
          <w:sz w:val="24"/>
          <w:szCs w:val="24"/>
        </w:rPr>
        <w:t>Wytoczenie powództwa przez Rzecznika Finansowego na rzecz Klienta, który wstąpił do postępowania</w:t>
      </w:r>
    </w:p>
    <w:p w14:paraId="47251E9F" w14:textId="77777777" w:rsidR="00AB71CE" w:rsidRPr="009D0E4F" w:rsidRDefault="00AB71CE" w:rsidP="00AB71CE">
      <w:pPr>
        <w:shd w:val="clear" w:color="auto" w:fill="FFFFFF"/>
        <w:spacing w:line="276" w:lineRule="auto"/>
        <w:jc w:val="both"/>
        <w:rPr>
          <w:sz w:val="22"/>
          <w:szCs w:val="22"/>
        </w:rPr>
      </w:pPr>
      <w:r w:rsidRPr="009D0E4F">
        <w:rPr>
          <w:sz w:val="22"/>
          <w:szCs w:val="22"/>
        </w:rPr>
        <w:t xml:space="preserve">W przypadku gdy Rzecznik Finansowy wytoczy powództwo na rzecz Klienta i Klient ten zdecyduje się wstąpić do toczącego się postępowania, poniesie on koszty procesu na zasadach ogólnych. </w:t>
      </w:r>
    </w:p>
    <w:p w14:paraId="3D4F3AC9" w14:textId="77777777" w:rsidR="00204103" w:rsidRPr="009D0E4F" w:rsidRDefault="00204103" w:rsidP="00AB71CE">
      <w:pPr>
        <w:shd w:val="clear" w:color="auto" w:fill="FFFFFF"/>
        <w:spacing w:line="276" w:lineRule="auto"/>
        <w:jc w:val="both"/>
        <w:rPr>
          <w:sz w:val="22"/>
          <w:szCs w:val="22"/>
        </w:rPr>
      </w:pPr>
    </w:p>
    <w:p w14:paraId="150F02EA" w14:textId="0057B093" w:rsidR="00AB71CE" w:rsidRPr="009D0E4F" w:rsidRDefault="00AB71CE" w:rsidP="00AB71CE">
      <w:pPr>
        <w:shd w:val="clear" w:color="auto" w:fill="FFFFFF"/>
        <w:spacing w:line="276" w:lineRule="auto"/>
        <w:jc w:val="both"/>
        <w:rPr>
          <w:sz w:val="22"/>
          <w:szCs w:val="22"/>
        </w:rPr>
      </w:pPr>
      <w:r w:rsidRPr="009D0E4F">
        <w:rPr>
          <w:sz w:val="22"/>
          <w:szCs w:val="22"/>
        </w:rPr>
        <w:t xml:space="preserve">Przede wszystkim Sąd pobiera od </w:t>
      </w:r>
      <w:r w:rsidR="00C17168" w:rsidRPr="009D0E4F">
        <w:rPr>
          <w:sz w:val="22"/>
          <w:szCs w:val="22"/>
        </w:rPr>
        <w:t>Klienta</w:t>
      </w:r>
      <w:r w:rsidRPr="009D0E4F">
        <w:rPr>
          <w:sz w:val="22"/>
          <w:szCs w:val="22"/>
        </w:rPr>
        <w:t xml:space="preserve"> należną od pozwu opłatę (</w:t>
      </w:r>
      <w:hyperlink r:id="rId12" w:anchor="/document/17216873?unitId=art(17)" w:history="1">
        <w:r w:rsidRPr="009D0E4F">
          <w:rPr>
            <w:rStyle w:val="Hipercze"/>
            <w:sz w:val="22"/>
            <w:szCs w:val="22"/>
          </w:rPr>
          <w:t>art. 17</w:t>
        </w:r>
      </w:hyperlink>
      <w:r w:rsidRPr="009D0E4F">
        <w:rPr>
          <w:sz w:val="22"/>
          <w:szCs w:val="22"/>
        </w:rPr>
        <w:t> </w:t>
      </w:r>
      <w:proofErr w:type="spellStart"/>
      <w:r w:rsidRPr="009D0E4F">
        <w:rPr>
          <w:sz w:val="22"/>
          <w:szCs w:val="22"/>
        </w:rPr>
        <w:t>u.k.s.c</w:t>
      </w:r>
      <w:proofErr w:type="spellEnd"/>
      <w:r w:rsidRPr="009D0E4F">
        <w:rPr>
          <w:sz w:val="22"/>
          <w:szCs w:val="22"/>
        </w:rPr>
        <w:t xml:space="preserve">.). Szczegółowe informacje na temat wysokości opłat sądowych uregulowane zostały w </w:t>
      </w:r>
      <w:r w:rsidRPr="009D0E4F">
        <w:rPr>
          <w:i/>
          <w:iCs/>
          <w:sz w:val="22"/>
          <w:szCs w:val="22"/>
        </w:rPr>
        <w:t xml:space="preserve">Ustawie o kosztach sądowych w sprawach cywilnych (dalej </w:t>
      </w:r>
      <w:proofErr w:type="spellStart"/>
      <w:r w:rsidRPr="009D0E4F">
        <w:rPr>
          <w:i/>
          <w:iCs/>
          <w:sz w:val="22"/>
          <w:szCs w:val="22"/>
        </w:rPr>
        <w:t>u.k.s.c</w:t>
      </w:r>
      <w:proofErr w:type="spellEnd"/>
      <w:r w:rsidRPr="009D0E4F">
        <w:rPr>
          <w:i/>
          <w:iCs/>
          <w:sz w:val="22"/>
          <w:szCs w:val="22"/>
        </w:rPr>
        <w:t>.),</w:t>
      </w:r>
      <w:r w:rsidR="00A152E9" w:rsidRPr="009D0E4F">
        <w:rPr>
          <w:i/>
          <w:iCs/>
          <w:sz w:val="22"/>
          <w:szCs w:val="22"/>
        </w:rPr>
        <w:t xml:space="preserve">, </w:t>
      </w:r>
      <w:r w:rsidRPr="009D0E4F">
        <w:rPr>
          <w:sz w:val="22"/>
          <w:szCs w:val="22"/>
        </w:rPr>
        <w:t>na stron</w:t>
      </w:r>
      <w:r w:rsidR="00A347F3" w:rsidRPr="009D0E4F">
        <w:rPr>
          <w:sz w:val="22"/>
          <w:szCs w:val="22"/>
        </w:rPr>
        <w:t>ach internetowych sądów powszechnych</w:t>
      </w:r>
      <w:r w:rsidR="00A152E9" w:rsidRPr="009D0E4F">
        <w:rPr>
          <w:sz w:val="22"/>
          <w:szCs w:val="22"/>
        </w:rPr>
        <w:t xml:space="preserve"> oraz na stronie rf.gov.pl</w:t>
      </w:r>
      <w:r w:rsidR="00B340D6">
        <w:rPr>
          <w:sz w:val="22"/>
          <w:szCs w:val="22"/>
        </w:rPr>
        <w:t>.</w:t>
      </w:r>
    </w:p>
    <w:p w14:paraId="41896CA1" w14:textId="77777777" w:rsidR="00204103" w:rsidRPr="009D0E4F" w:rsidRDefault="00204103" w:rsidP="00AB71CE">
      <w:pPr>
        <w:shd w:val="clear" w:color="auto" w:fill="FFFFFF"/>
        <w:spacing w:line="276" w:lineRule="auto"/>
        <w:jc w:val="both"/>
        <w:rPr>
          <w:sz w:val="22"/>
          <w:szCs w:val="22"/>
        </w:rPr>
      </w:pPr>
    </w:p>
    <w:p w14:paraId="69F3F55A" w14:textId="77777777" w:rsidR="00204103" w:rsidRPr="009D0E4F" w:rsidRDefault="00204103" w:rsidP="00204103">
      <w:pPr>
        <w:shd w:val="clear" w:color="auto" w:fill="FFFFFF"/>
        <w:spacing w:line="276" w:lineRule="auto"/>
        <w:jc w:val="both"/>
        <w:rPr>
          <w:sz w:val="22"/>
          <w:szCs w:val="22"/>
        </w:rPr>
      </w:pPr>
      <w:r w:rsidRPr="009D0E4F">
        <w:rPr>
          <w:sz w:val="22"/>
          <w:szCs w:val="22"/>
        </w:rPr>
        <w:t xml:space="preserve">W przypadku, gdy Rzecznik Finansowy podejmie czynności  połączone  z  obowiązkiem  poniesienia  wydatków  (np.  wystąpi  z  wnioskiem o dopuszczenie  dowodu  z  opinii  biegłego), to wydatki  kredytuje  tymczasowo Skarb Państwa, natomiast ich rozliczenie nastąpi co do zasady w orzeczeniu kończącym postępowanie zgodnie z art. 113 </w:t>
      </w:r>
      <w:proofErr w:type="spellStart"/>
      <w:r w:rsidRPr="009D0E4F">
        <w:rPr>
          <w:sz w:val="22"/>
          <w:szCs w:val="22"/>
        </w:rPr>
        <w:t>u.k.s.c</w:t>
      </w:r>
      <w:proofErr w:type="spellEnd"/>
      <w:r w:rsidRPr="009D0E4F">
        <w:rPr>
          <w:sz w:val="22"/>
          <w:szCs w:val="22"/>
        </w:rPr>
        <w:t xml:space="preserve">. </w:t>
      </w:r>
    </w:p>
    <w:p w14:paraId="6D9BEDCB" w14:textId="77777777" w:rsidR="00C17168" w:rsidRPr="009D0E4F" w:rsidRDefault="00C17168" w:rsidP="00AB71CE">
      <w:pPr>
        <w:shd w:val="clear" w:color="auto" w:fill="FFFFFF"/>
        <w:spacing w:line="276" w:lineRule="auto"/>
        <w:jc w:val="both"/>
        <w:rPr>
          <w:sz w:val="22"/>
          <w:szCs w:val="22"/>
        </w:rPr>
      </w:pPr>
    </w:p>
    <w:p w14:paraId="3A2043C5" w14:textId="26BAF6D4" w:rsidR="00AB71CE" w:rsidRPr="009D0E4F" w:rsidRDefault="00AB71CE" w:rsidP="00AB71CE">
      <w:pPr>
        <w:shd w:val="clear" w:color="auto" w:fill="FFFFFF"/>
        <w:spacing w:line="276" w:lineRule="auto"/>
        <w:jc w:val="both"/>
        <w:rPr>
          <w:sz w:val="24"/>
          <w:szCs w:val="24"/>
        </w:rPr>
      </w:pPr>
      <w:r w:rsidRPr="009D0E4F">
        <w:rPr>
          <w:sz w:val="22"/>
          <w:szCs w:val="22"/>
        </w:rPr>
        <w:t>Strona która wstąpiła do sprawy wytoczonej na jej rzecz przez Rzecznika, może zostać zobowiązana do zwrotu stronie przeciwnej kosztów zastępstwa procesowego.</w:t>
      </w:r>
      <w:r w:rsidRPr="009D0E4F">
        <w:rPr>
          <w:sz w:val="24"/>
          <w:szCs w:val="24"/>
        </w:rPr>
        <w:t xml:space="preserve"> </w:t>
      </w:r>
    </w:p>
    <w:p w14:paraId="6D14CFD0" w14:textId="77777777" w:rsidR="00AB71CE" w:rsidRPr="009D0E4F" w:rsidRDefault="00AB71CE" w:rsidP="00AB71CE">
      <w:pPr>
        <w:shd w:val="clear" w:color="auto" w:fill="FFFFFF"/>
        <w:spacing w:line="276" w:lineRule="auto"/>
        <w:jc w:val="both"/>
        <w:rPr>
          <w:sz w:val="24"/>
          <w:szCs w:val="24"/>
        </w:rPr>
      </w:pPr>
    </w:p>
    <w:p w14:paraId="3B9ECC35" w14:textId="2AC13575" w:rsidR="00730EF0" w:rsidRPr="003445BF" w:rsidRDefault="00730EF0" w:rsidP="003445BF">
      <w:pPr>
        <w:pStyle w:val="Akapitzlist"/>
        <w:numPr>
          <w:ilvl w:val="0"/>
          <w:numId w:val="5"/>
        </w:numPr>
        <w:ind w:left="1134"/>
        <w:jc w:val="both"/>
        <w:rPr>
          <w:rFonts w:ascii="Times New Roman" w:hAnsi="Times New Roman" w:cs="Times New Roman"/>
          <w:b/>
          <w:bCs/>
          <w:sz w:val="24"/>
          <w:szCs w:val="24"/>
        </w:rPr>
      </w:pPr>
      <w:r w:rsidRPr="003445BF">
        <w:rPr>
          <w:rFonts w:ascii="Times New Roman" w:hAnsi="Times New Roman" w:cs="Times New Roman"/>
          <w:b/>
          <w:bCs/>
          <w:sz w:val="24"/>
          <w:szCs w:val="24"/>
        </w:rPr>
        <w:t>Zwolnienie od kosztów sądowych</w:t>
      </w:r>
    </w:p>
    <w:p w14:paraId="167A2250" w14:textId="431945FD" w:rsidR="00AB71CE" w:rsidRPr="009D0E4F" w:rsidRDefault="00AB71CE" w:rsidP="00C24617">
      <w:pPr>
        <w:shd w:val="clear" w:color="auto" w:fill="FFFFFF"/>
        <w:spacing w:line="276" w:lineRule="auto"/>
        <w:jc w:val="both"/>
        <w:rPr>
          <w:sz w:val="22"/>
          <w:szCs w:val="22"/>
        </w:rPr>
      </w:pPr>
      <w:r w:rsidRPr="009D0E4F">
        <w:rPr>
          <w:sz w:val="22"/>
          <w:szCs w:val="22"/>
        </w:rPr>
        <w:t xml:space="preserve">Osobie, na rzecz której Rzecznik wytoczył powództwo i która wstąpiła do sprawy, przysługuje także prawo do złożenia wniosku (do sądu) o zwolnienie jej od kosztów sądowych - decyzję w tym zakresie podejmuje sąd, Rzecznik nie ma wpływu na wysokość opłaty od pozwu, ani na zwolnienie Klienta od jej ponoszenia. Szczegółowe informacje dotyczące zwalniania z kosztów sądowych, znajdują się na stronach internetowych sądów powszechnych. </w:t>
      </w:r>
    </w:p>
    <w:p w14:paraId="3AA8F488" w14:textId="70CED0BB" w:rsidR="12167A98" w:rsidRPr="009D0E4F" w:rsidRDefault="12167A98" w:rsidP="00C24617">
      <w:pPr>
        <w:shd w:val="clear" w:color="auto" w:fill="FFFFFF"/>
        <w:spacing w:line="276" w:lineRule="auto"/>
        <w:jc w:val="both"/>
        <w:rPr>
          <w:sz w:val="24"/>
          <w:szCs w:val="24"/>
        </w:rPr>
      </w:pPr>
    </w:p>
    <w:p w14:paraId="6A6B4083" w14:textId="1FEE3231" w:rsidR="12167A98" w:rsidRPr="009D0E4F" w:rsidRDefault="12167A98" w:rsidP="12167A98">
      <w:pPr>
        <w:jc w:val="both"/>
        <w:rPr>
          <w:sz w:val="22"/>
          <w:szCs w:val="22"/>
        </w:rPr>
      </w:pPr>
    </w:p>
    <w:p w14:paraId="2A94A7DA" w14:textId="2B0451C5" w:rsidR="12167A98" w:rsidRPr="009D0E4F" w:rsidRDefault="00687091" w:rsidP="12167A98">
      <w:pPr>
        <w:jc w:val="both"/>
        <w:rPr>
          <w:sz w:val="22"/>
          <w:szCs w:val="22"/>
        </w:rPr>
      </w:pPr>
      <w:r w:rsidRPr="009D0E4F">
        <w:rPr>
          <w:rStyle w:val="Pogrubienie"/>
          <w:rFonts w:cstheme="minorHAnsi"/>
          <w:sz w:val="22"/>
          <w:szCs w:val="22"/>
          <w:u w:val="single"/>
        </w:rPr>
        <w:t>Zwolnienie z kosztów sądowych nie zwalnia strony przegrywającej z obowiązku zwrotu kosztów zastępstwa procesowego stronie przeciwnej (tzn. wynagrodzenia reprezentującego przeciwnika adwokata lub radcy prawnego).</w:t>
      </w:r>
    </w:p>
    <w:p w14:paraId="0B39DAAA" w14:textId="2BC37706" w:rsidR="12167A98" w:rsidRPr="009D0E4F" w:rsidRDefault="12167A98" w:rsidP="12167A98">
      <w:pPr>
        <w:jc w:val="both"/>
        <w:rPr>
          <w:sz w:val="22"/>
          <w:szCs w:val="22"/>
        </w:rPr>
      </w:pPr>
    </w:p>
    <w:p w14:paraId="156762D0" w14:textId="698E5964" w:rsidR="12167A98" w:rsidRPr="009D0E4F" w:rsidRDefault="12167A98" w:rsidP="63080CC1">
      <w:pPr>
        <w:jc w:val="both"/>
        <w:rPr>
          <w:sz w:val="22"/>
          <w:szCs w:val="22"/>
        </w:rPr>
      </w:pPr>
    </w:p>
    <w:p w14:paraId="41B9C132" w14:textId="77777777" w:rsidR="00BA22AE" w:rsidRPr="009D0E4F" w:rsidRDefault="00BA22AE">
      <w:pPr>
        <w:rPr>
          <w:sz w:val="22"/>
          <w:szCs w:val="22"/>
        </w:rPr>
      </w:pPr>
    </w:p>
    <w:sectPr w:rsidR="00BA22AE" w:rsidRPr="009D0E4F" w:rsidSect="007A4407">
      <w:footerReference w:type="first" r:id="rId13"/>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9408" w14:textId="77777777" w:rsidR="00413E24" w:rsidRDefault="00413E24">
      <w:r>
        <w:separator/>
      </w:r>
    </w:p>
  </w:endnote>
  <w:endnote w:type="continuationSeparator" w:id="0">
    <w:p w14:paraId="4D881F02" w14:textId="77777777" w:rsidR="00413E24" w:rsidRDefault="0041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D22F2" w14:paraId="541E49A3" w14:textId="77777777" w:rsidTr="003A3C3D">
      <w:tc>
        <w:tcPr>
          <w:tcW w:w="9628" w:type="dxa"/>
        </w:tcPr>
        <w:p w14:paraId="237B815B" w14:textId="77777777" w:rsidR="008D22F2" w:rsidRDefault="00445334" w:rsidP="008D22F2">
          <w:pPr>
            <w:pStyle w:val="Stopka"/>
            <w:jc w:val="right"/>
            <w:rPr>
              <w:rFonts w:ascii="Arial" w:hAnsi="Arial" w:cs="Arial"/>
              <w:color w:val="999999"/>
            </w:rPr>
          </w:pPr>
        </w:p>
      </w:tc>
    </w:tr>
  </w:tbl>
  <w:p w14:paraId="28FBDA4B" w14:textId="77777777" w:rsidR="008D22F2" w:rsidRDefault="004453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42A6" w14:textId="77777777" w:rsidR="00413E24" w:rsidRDefault="00413E24">
      <w:r>
        <w:separator/>
      </w:r>
    </w:p>
  </w:footnote>
  <w:footnote w:type="continuationSeparator" w:id="0">
    <w:p w14:paraId="698E3843" w14:textId="77777777" w:rsidR="00413E24" w:rsidRDefault="0041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340"/>
    <w:multiLevelType w:val="hybridMultilevel"/>
    <w:tmpl w:val="D65E4C3A"/>
    <w:lvl w:ilvl="0" w:tplc="703C50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5F17292"/>
    <w:multiLevelType w:val="hybridMultilevel"/>
    <w:tmpl w:val="66F665A0"/>
    <w:lvl w:ilvl="0" w:tplc="38183A4C">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6CA6617"/>
    <w:multiLevelType w:val="hybridMultilevel"/>
    <w:tmpl w:val="B9C06A88"/>
    <w:lvl w:ilvl="0" w:tplc="A54614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6A70E0"/>
    <w:multiLevelType w:val="hybridMultilevel"/>
    <w:tmpl w:val="413CF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3AE637"/>
    <w:multiLevelType w:val="hybridMultilevel"/>
    <w:tmpl w:val="F5B82792"/>
    <w:lvl w:ilvl="0" w:tplc="75A22470">
      <w:start w:val="1"/>
      <w:numFmt w:val="decimal"/>
      <w:lvlText w:val="%1."/>
      <w:lvlJc w:val="left"/>
      <w:pPr>
        <w:ind w:left="720" w:hanging="360"/>
      </w:pPr>
    </w:lvl>
    <w:lvl w:ilvl="1" w:tplc="230C0F52">
      <w:start w:val="1"/>
      <w:numFmt w:val="lowerLetter"/>
      <w:lvlText w:val="%2."/>
      <w:lvlJc w:val="left"/>
      <w:pPr>
        <w:ind w:left="1440" w:hanging="360"/>
      </w:pPr>
    </w:lvl>
    <w:lvl w:ilvl="2" w:tplc="FD402E82">
      <w:start w:val="1"/>
      <w:numFmt w:val="lowerRoman"/>
      <w:lvlText w:val="%3."/>
      <w:lvlJc w:val="right"/>
      <w:pPr>
        <w:ind w:left="2160" w:hanging="180"/>
      </w:pPr>
    </w:lvl>
    <w:lvl w:ilvl="3" w:tplc="79BEF214">
      <w:start w:val="1"/>
      <w:numFmt w:val="decimal"/>
      <w:lvlText w:val="%4."/>
      <w:lvlJc w:val="left"/>
      <w:pPr>
        <w:ind w:left="2880" w:hanging="360"/>
      </w:pPr>
    </w:lvl>
    <w:lvl w:ilvl="4" w:tplc="7A86D2EE">
      <w:start w:val="1"/>
      <w:numFmt w:val="lowerLetter"/>
      <w:lvlText w:val="%5."/>
      <w:lvlJc w:val="left"/>
      <w:pPr>
        <w:ind w:left="3600" w:hanging="360"/>
      </w:pPr>
    </w:lvl>
    <w:lvl w:ilvl="5" w:tplc="AF66854E">
      <w:start w:val="1"/>
      <w:numFmt w:val="lowerRoman"/>
      <w:lvlText w:val="%6."/>
      <w:lvlJc w:val="right"/>
      <w:pPr>
        <w:ind w:left="4320" w:hanging="180"/>
      </w:pPr>
    </w:lvl>
    <w:lvl w:ilvl="6" w:tplc="9B188B36">
      <w:start w:val="1"/>
      <w:numFmt w:val="decimal"/>
      <w:lvlText w:val="%7."/>
      <w:lvlJc w:val="left"/>
      <w:pPr>
        <w:ind w:left="5040" w:hanging="360"/>
      </w:pPr>
    </w:lvl>
    <w:lvl w:ilvl="7" w:tplc="3E50FFD0">
      <w:start w:val="1"/>
      <w:numFmt w:val="lowerLetter"/>
      <w:lvlText w:val="%8."/>
      <w:lvlJc w:val="left"/>
      <w:pPr>
        <w:ind w:left="5760" w:hanging="360"/>
      </w:pPr>
    </w:lvl>
    <w:lvl w:ilvl="8" w:tplc="9876724E">
      <w:start w:val="1"/>
      <w:numFmt w:val="lowerRoman"/>
      <w:lvlText w:val="%9."/>
      <w:lvlJc w:val="right"/>
      <w:pPr>
        <w:ind w:left="6480" w:hanging="180"/>
      </w:pPr>
    </w:lvl>
  </w:abstractNum>
  <w:abstractNum w:abstractNumId="5" w15:restartNumberingAfterBreak="0">
    <w:nsid w:val="483F6377"/>
    <w:multiLevelType w:val="hybridMultilevel"/>
    <w:tmpl w:val="8DB041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6199352">
    <w:abstractNumId w:val="4"/>
  </w:num>
  <w:num w:numId="2" w16cid:durableId="856574908">
    <w:abstractNumId w:val="5"/>
  </w:num>
  <w:num w:numId="3" w16cid:durableId="490949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283629">
    <w:abstractNumId w:val="0"/>
  </w:num>
  <w:num w:numId="5" w16cid:durableId="1105535649">
    <w:abstractNumId w:val="2"/>
  </w:num>
  <w:num w:numId="6" w16cid:durableId="820390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A6"/>
    <w:rsid w:val="00016E90"/>
    <w:rsid w:val="0017297C"/>
    <w:rsid w:val="001E5F67"/>
    <w:rsid w:val="00204103"/>
    <w:rsid w:val="00271EAC"/>
    <w:rsid w:val="00294BC0"/>
    <w:rsid w:val="003445BF"/>
    <w:rsid w:val="003E750F"/>
    <w:rsid w:val="004044B3"/>
    <w:rsid w:val="00413E24"/>
    <w:rsid w:val="00445334"/>
    <w:rsid w:val="005013F6"/>
    <w:rsid w:val="00554111"/>
    <w:rsid w:val="00587A4D"/>
    <w:rsid w:val="005B068A"/>
    <w:rsid w:val="00687091"/>
    <w:rsid w:val="00730EF0"/>
    <w:rsid w:val="00792146"/>
    <w:rsid w:val="009801F1"/>
    <w:rsid w:val="009D0E4F"/>
    <w:rsid w:val="00A152E9"/>
    <w:rsid w:val="00A347F3"/>
    <w:rsid w:val="00A556A8"/>
    <w:rsid w:val="00AA6B04"/>
    <w:rsid w:val="00AB71CE"/>
    <w:rsid w:val="00AD2177"/>
    <w:rsid w:val="00B340D6"/>
    <w:rsid w:val="00BA22AE"/>
    <w:rsid w:val="00C17168"/>
    <w:rsid w:val="00C24617"/>
    <w:rsid w:val="00C410A6"/>
    <w:rsid w:val="00C50C17"/>
    <w:rsid w:val="00D2237F"/>
    <w:rsid w:val="00D73A8D"/>
    <w:rsid w:val="00D822E0"/>
    <w:rsid w:val="00E8777D"/>
    <w:rsid w:val="01B0FC38"/>
    <w:rsid w:val="02AC604B"/>
    <w:rsid w:val="07C43E9E"/>
    <w:rsid w:val="088308D0"/>
    <w:rsid w:val="0E2321D2"/>
    <w:rsid w:val="0E2E1594"/>
    <w:rsid w:val="12167A98"/>
    <w:rsid w:val="17808B81"/>
    <w:rsid w:val="207CAB24"/>
    <w:rsid w:val="23432D58"/>
    <w:rsid w:val="24E6DD58"/>
    <w:rsid w:val="2EFDE2A2"/>
    <w:rsid w:val="3151FF62"/>
    <w:rsid w:val="3561B563"/>
    <w:rsid w:val="3B8B8621"/>
    <w:rsid w:val="3EAB04A3"/>
    <w:rsid w:val="52901631"/>
    <w:rsid w:val="565ADDF3"/>
    <w:rsid w:val="57F6AE54"/>
    <w:rsid w:val="63080CC1"/>
    <w:rsid w:val="64C87F74"/>
    <w:rsid w:val="7BBDAE24"/>
    <w:rsid w:val="7E374049"/>
    <w:rsid w:val="7E7BA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BDC"/>
  <w15:chartTrackingRefBased/>
  <w15:docId w15:val="{8E9A0161-DC20-48EE-B937-BEE57BD6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E90"/>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016E90"/>
    <w:pPr>
      <w:tabs>
        <w:tab w:val="center" w:pos="4536"/>
        <w:tab w:val="right" w:pos="9072"/>
      </w:tabs>
    </w:pPr>
  </w:style>
  <w:style w:type="character" w:customStyle="1" w:styleId="StopkaZnak">
    <w:name w:val="Stopka Znak"/>
    <w:basedOn w:val="Domylnaczcionkaakapitu"/>
    <w:link w:val="Stopka"/>
    <w:rsid w:val="00016E90"/>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39"/>
    <w:rsid w:val="00016E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016E90"/>
  </w:style>
  <w:style w:type="character" w:customStyle="1" w:styleId="TekstkomentarzaZnak">
    <w:name w:val="Tekst komentarza Znak"/>
    <w:basedOn w:val="Domylnaczcionkaakapitu"/>
    <w:link w:val="Tekstkomentarza"/>
    <w:uiPriority w:val="99"/>
    <w:rsid w:val="00016E90"/>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rsid w:val="00016E90"/>
    <w:rPr>
      <w:sz w:val="16"/>
      <w:szCs w:val="16"/>
    </w:rPr>
  </w:style>
  <w:style w:type="paragraph" w:styleId="Akapitzlist">
    <w:name w:val="List Paragraph"/>
    <w:basedOn w:val="Normalny"/>
    <w:uiPriority w:val="1"/>
    <w:qFormat/>
    <w:rsid w:val="00687091"/>
    <w:pPr>
      <w:spacing w:after="160" w:line="256"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Pogrubienie">
    <w:name w:val="Strong"/>
    <w:basedOn w:val="Domylnaczcionkaakapitu"/>
    <w:uiPriority w:val="22"/>
    <w:qFormat/>
    <w:rsid w:val="00687091"/>
    <w:rPr>
      <w:b/>
      <w:bCs/>
    </w:rPr>
  </w:style>
  <w:style w:type="character" w:styleId="Hipercze">
    <w:name w:val="Hyperlink"/>
    <w:basedOn w:val="Domylnaczcionkaakapitu"/>
    <w:uiPriority w:val="99"/>
    <w:unhideWhenUsed/>
    <w:rsid w:val="00AB71CE"/>
    <w:rPr>
      <w:color w:val="0563C1" w:themeColor="hyperlink"/>
      <w:u w:val="single"/>
    </w:rPr>
  </w:style>
  <w:style w:type="character" w:styleId="Nierozpoznanawzmianka">
    <w:name w:val="Unresolved Mention"/>
    <w:basedOn w:val="Domylnaczcionkaakapitu"/>
    <w:uiPriority w:val="99"/>
    <w:semiHidden/>
    <w:unhideWhenUsed/>
    <w:rsid w:val="00AB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p.lex.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D4D55D61163469EF52A013B677CA9" ma:contentTypeVersion="4" ma:contentTypeDescription="Utwórz nowy dokument." ma:contentTypeScope="" ma:versionID="d54e425d833e5ce0363006cce9aacac3">
  <xsd:schema xmlns:xsd="http://www.w3.org/2001/XMLSchema" xmlns:xs="http://www.w3.org/2001/XMLSchema" xmlns:p="http://schemas.microsoft.com/office/2006/metadata/properties" xmlns:ns2="e7e506c6-8d55-4156-ad73-df2755c153e5" xmlns:ns3="5552b619-2fe3-4853-a122-8427e609b7a9" targetNamespace="http://schemas.microsoft.com/office/2006/metadata/properties" ma:root="true" ma:fieldsID="e512d17f057e768827c8f185747abfa3" ns2:_="" ns3:_="">
    <xsd:import namespace="e7e506c6-8d55-4156-ad73-df2755c153e5"/>
    <xsd:import namespace="5552b619-2fe3-4853-a122-8427e609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506c6-8d55-4156-ad73-df2755c1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2b619-2fe3-4853-a122-8427e609b7a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3F6AD-D9DD-4841-B8DB-E8D351CB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506c6-8d55-4156-ad73-df2755c153e5"/>
    <ds:schemaRef ds:uri="5552b619-2fe3-4853-a122-8427e609b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7172F-F723-4144-AA77-8CD1F0149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9076C2-98BD-4B66-98E7-902FE3A57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5179</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Borkowska</dc:creator>
  <cp:keywords/>
  <dc:description/>
  <cp:lastModifiedBy>Joanna Łagowska</cp:lastModifiedBy>
  <cp:revision>2</cp:revision>
  <dcterms:created xsi:type="dcterms:W3CDTF">2023-06-23T09:42:00Z</dcterms:created>
  <dcterms:modified xsi:type="dcterms:W3CDTF">2023-06-23T09:42:00Z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0x010100F92D4D55D61163469EF52A013B677CA9</vt:lpwstr>
  </property>
</Properties>
</file>